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C19" w:rsidRDefault="00E64C19">
      <w:pPr>
        <w:rPr>
          <w:lang w:val="en-US"/>
        </w:rPr>
      </w:pPr>
    </w:p>
    <w:p w:rsidR="00E64C19" w:rsidRPr="00E64C19" w:rsidRDefault="00E64C19">
      <w:pPr>
        <w:rPr>
          <w:rFonts w:ascii="Book Antiqua" w:hAnsi="Book Antiqua"/>
          <w:lang w:val="en-US"/>
        </w:rPr>
      </w:pPr>
      <w:proofErr w:type="gramStart"/>
      <w:r w:rsidRPr="00E64C19">
        <w:rPr>
          <w:rFonts w:ascii="Book Antiqua" w:hAnsi="Book Antiqua"/>
          <w:lang w:val="en-US"/>
        </w:rPr>
        <w:t>ANESTHESIOLOGY 2015.</w:t>
      </w:r>
      <w:proofErr w:type="gramEnd"/>
      <w:r w:rsidRPr="00E64C19">
        <w:rPr>
          <w:rFonts w:ascii="Book Antiqua" w:hAnsi="Book Antiqua"/>
          <w:lang w:val="en-US"/>
        </w:rPr>
        <w:t xml:space="preserve">  Abstracts of America Association of Anesthesiology Conference</w:t>
      </w:r>
    </w:p>
    <w:tbl>
      <w:tblPr>
        <w:tblW w:w="0" w:type="auto"/>
        <w:tblCellSpacing w:w="0" w:type="dxa"/>
        <w:tblCellMar>
          <w:top w:w="60" w:type="dxa"/>
          <w:left w:w="60" w:type="dxa"/>
          <w:bottom w:w="60" w:type="dxa"/>
          <w:right w:w="60" w:type="dxa"/>
        </w:tblCellMar>
        <w:tblLook w:val="04A0"/>
      </w:tblPr>
      <w:tblGrid>
        <w:gridCol w:w="9475"/>
      </w:tblGrid>
      <w:tr w:rsidR="00E64C19" w:rsidRPr="00E64C19" w:rsidTr="00E64C19">
        <w:trPr>
          <w:tblCellSpacing w:w="0" w:type="dxa"/>
        </w:trPr>
        <w:tc>
          <w:tcPr>
            <w:tcW w:w="0" w:type="auto"/>
            <w:vAlign w:val="center"/>
            <w:hideMark/>
          </w:tcPr>
          <w:p w:rsidR="00E64C19" w:rsidRPr="00E64C19" w:rsidRDefault="00E64C19" w:rsidP="00E64C19">
            <w:pPr>
              <w:rPr>
                <w:rFonts w:ascii="Book Antiqua" w:eastAsia="Times New Roman" w:hAnsi="Book Antiqua" w:cs="Times New Roman"/>
                <w:sz w:val="24"/>
                <w:szCs w:val="24"/>
                <w:lang w:val="en-US" w:eastAsia="ru-RU"/>
              </w:rPr>
            </w:pPr>
            <w:r w:rsidRPr="00E64C19">
              <w:rPr>
                <w:rFonts w:ascii="Book Antiqua" w:eastAsia="Times New Roman" w:hAnsi="Book Antiqua" w:cs="Times New Roman"/>
                <w:sz w:val="24"/>
                <w:szCs w:val="24"/>
                <w:lang w:val="en-US" w:eastAsia="ru-RU"/>
              </w:rPr>
              <w:t xml:space="preserve">October 25, 2015 </w:t>
            </w:r>
            <w:r w:rsidRPr="00E64C19">
              <w:rPr>
                <w:rFonts w:ascii="Book Antiqua" w:eastAsia="Times New Roman" w:hAnsi="Book Antiqua" w:cs="Times New Roman"/>
                <w:sz w:val="24"/>
                <w:szCs w:val="24"/>
                <w:lang w:val="en-US" w:eastAsia="ru-RU"/>
              </w:rPr>
              <w:br/>
            </w:r>
          </w:p>
        </w:tc>
      </w:tr>
      <w:tr w:rsidR="00E64C19" w:rsidRPr="00E64C19" w:rsidTr="00E64C19">
        <w:trPr>
          <w:tblCellSpacing w:w="0" w:type="dxa"/>
        </w:trPr>
        <w:tc>
          <w:tcPr>
            <w:tcW w:w="0" w:type="auto"/>
            <w:vAlign w:val="center"/>
            <w:hideMark/>
          </w:tcPr>
          <w:p w:rsidR="00E64C19" w:rsidRPr="00E64C19" w:rsidRDefault="00E64C19" w:rsidP="00E64C19">
            <w:pPr>
              <w:jc w:val="both"/>
              <w:rPr>
                <w:rFonts w:ascii="Book Antiqua" w:eastAsia="Times New Roman" w:hAnsi="Book Antiqua" w:cs="Times New Roman"/>
                <w:b/>
                <w:sz w:val="24"/>
                <w:szCs w:val="24"/>
                <w:lang w:val="en-US" w:eastAsia="ru-RU"/>
              </w:rPr>
            </w:pPr>
            <w:r w:rsidRPr="00E64C19">
              <w:rPr>
                <w:rFonts w:ascii="Book Antiqua" w:eastAsia="Times New Roman" w:hAnsi="Book Antiqua" w:cs="Times New Roman"/>
                <w:b/>
                <w:bCs/>
                <w:sz w:val="24"/>
                <w:szCs w:val="24"/>
                <w:lang w:val="en-US" w:eastAsia="ru-RU"/>
              </w:rPr>
              <w:t>A2088.</w:t>
            </w:r>
            <w:r w:rsidRPr="00E64C19">
              <w:rPr>
                <w:rFonts w:ascii="Book Antiqua" w:eastAsia="Times New Roman" w:hAnsi="Book Antiqua" w:cs="Times New Roman"/>
                <w:sz w:val="24"/>
                <w:szCs w:val="24"/>
                <w:lang w:val="en-US" w:eastAsia="ru-RU"/>
              </w:rPr>
              <w:t xml:space="preserve">  </w:t>
            </w:r>
            <w:r w:rsidRPr="00E64C19">
              <w:rPr>
                <w:rFonts w:ascii="Book Antiqua" w:eastAsia="Times New Roman" w:hAnsi="Book Antiqua" w:cs="Times New Roman"/>
                <w:b/>
                <w:sz w:val="24"/>
                <w:szCs w:val="24"/>
                <w:lang w:val="en-US" w:eastAsia="ru-RU"/>
              </w:rPr>
              <w:t xml:space="preserve">The False Positive Soluble CD 14 Subtype is Lower Than That of </w:t>
            </w:r>
            <w:proofErr w:type="spellStart"/>
            <w:r w:rsidRPr="00E64C19">
              <w:rPr>
                <w:rFonts w:ascii="Book Antiqua" w:eastAsia="Times New Roman" w:hAnsi="Book Antiqua" w:cs="Times New Roman"/>
                <w:b/>
                <w:sz w:val="24"/>
                <w:szCs w:val="24"/>
                <w:lang w:val="en-US" w:eastAsia="ru-RU"/>
              </w:rPr>
              <w:t>Procalcitonin</w:t>
            </w:r>
            <w:proofErr w:type="spellEnd"/>
            <w:r w:rsidRPr="00E64C19">
              <w:rPr>
                <w:rFonts w:ascii="Book Antiqua" w:eastAsia="Times New Roman" w:hAnsi="Book Antiqua" w:cs="Times New Roman"/>
                <w:b/>
                <w:sz w:val="24"/>
                <w:szCs w:val="24"/>
                <w:lang w:val="en-US" w:eastAsia="ru-RU"/>
              </w:rPr>
              <w:t xml:space="preserve"> in Postoperative Severe Elective Surgery Patients: A Prospective Observational Trial</w:t>
            </w:r>
          </w:p>
        </w:tc>
      </w:tr>
      <w:tr w:rsidR="00E64C19" w:rsidRPr="00E64C19" w:rsidTr="00E64C19">
        <w:trPr>
          <w:tblCellSpacing w:w="0" w:type="dxa"/>
        </w:trPr>
        <w:tc>
          <w:tcPr>
            <w:tcW w:w="0" w:type="auto"/>
            <w:vAlign w:val="center"/>
            <w:hideMark/>
          </w:tcPr>
          <w:p w:rsidR="00E64C19" w:rsidRPr="00E64C19" w:rsidRDefault="00E64C19" w:rsidP="00E64C19">
            <w:pPr>
              <w:jc w:val="both"/>
              <w:rPr>
                <w:rFonts w:ascii="Book Antiqua" w:eastAsia="Times New Roman" w:hAnsi="Book Antiqua" w:cs="Times New Roman"/>
                <w:sz w:val="24"/>
                <w:szCs w:val="24"/>
                <w:lang w:val="en-US" w:eastAsia="ru-RU"/>
              </w:rPr>
            </w:pPr>
            <w:r w:rsidRPr="00E64C19">
              <w:rPr>
                <w:rFonts w:ascii="Book Antiqua" w:eastAsia="Times New Roman" w:hAnsi="Book Antiqua" w:cs="Times New Roman"/>
                <w:sz w:val="24"/>
                <w:szCs w:val="24"/>
                <w:lang w:val="en-US" w:eastAsia="ru-RU"/>
              </w:rPr>
              <w:t xml:space="preserve">Yoshitaka Hara, M.D., </w:t>
            </w:r>
            <w:proofErr w:type="spellStart"/>
            <w:r w:rsidRPr="00E64C19">
              <w:rPr>
                <w:rFonts w:ascii="Book Antiqua" w:eastAsia="Times New Roman" w:hAnsi="Book Antiqua" w:cs="Times New Roman"/>
                <w:sz w:val="24"/>
                <w:szCs w:val="24"/>
                <w:lang w:val="en-US" w:eastAsia="ru-RU"/>
              </w:rPr>
              <w:t>Tomoyuki</w:t>
            </w:r>
            <w:proofErr w:type="spellEnd"/>
            <w:r w:rsidRPr="00E64C19">
              <w:rPr>
                <w:rFonts w:ascii="Book Antiqua" w:eastAsia="Times New Roman" w:hAnsi="Book Antiqua" w:cs="Times New Roman"/>
                <w:sz w:val="24"/>
                <w:szCs w:val="24"/>
                <w:lang w:val="en-US" w:eastAsia="ru-RU"/>
              </w:rPr>
              <w:t xml:space="preserve"> Nakamura, M.D., </w:t>
            </w:r>
            <w:proofErr w:type="spellStart"/>
            <w:r w:rsidRPr="00E64C19">
              <w:rPr>
                <w:rFonts w:ascii="Book Antiqua" w:eastAsia="Times New Roman" w:hAnsi="Book Antiqua" w:cs="Times New Roman"/>
                <w:sz w:val="24"/>
                <w:szCs w:val="24"/>
                <w:lang w:val="en-US" w:eastAsia="ru-RU"/>
              </w:rPr>
              <w:t>Naohide</w:t>
            </w:r>
            <w:proofErr w:type="spellEnd"/>
            <w:r w:rsidRPr="00E64C19">
              <w:rPr>
                <w:rFonts w:ascii="Book Antiqua" w:eastAsia="Times New Roman" w:hAnsi="Book Antiqua" w:cs="Times New Roman"/>
                <w:sz w:val="24"/>
                <w:szCs w:val="24"/>
                <w:lang w:val="en-US" w:eastAsia="ru-RU"/>
              </w:rPr>
              <w:t xml:space="preserve"> </w:t>
            </w:r>
            <w:proofErr w:type="spellStart"/>
            <w:r w:rsidRPr="00E64C19">
              <w:rPr>
                <w:rFonts w:ascii="Book Antiqua" w:eastAsia="Times New Roman" w:hAnsi="Book Antiqua" w:cs="Times New Roman"/>
                <w:sz w:val="24"/>
                <w:szCs w:val="24"/>
                <w:lang w:val="en-US" w:eastAsia="ru-RU"/>
              </w:rPr>
              <w:t>Kuriyama</w:t>
            </w:r>
            <w:proofErr w:type="spellEnd"/>
            <w:r w:rsidRPr="00E64C19">
              <w:rPr>
                <w:rFonts w:ascii="Book Antiqua" w:eastAsia="Times New Roman" w:hAnsi="Book Antiqua" w:cs="Times New Roman"/>
                <w:sz w:val="24"/>
                <w:szCs w:val="24"/>
                <w:lang w:val="en-US" w:eastAsia="ru-RU"/>
              </w:rPr>
              <w:t xml:space="preserve">, M.D., Satoshi Komatsu, M.D., Seiko Hayakawa, M.D., </w:t>
            </w:r>
            <w:proofErr w:type="spellStart"/>
            <w:r w:rsidRPr="00E64C19">
              <w:rPr>
                <w:rFonts w:ascii="Book Antiqua" w:eastAsia="Times New Roman" w:hAnsi="Book Antiqua" w:cs="Times New Roman"/>
                <w:sz w:val="24"/>
                <w:szCs w:val="24"/>
                <w:lang w:val="en-US" w:eastAsia="ru-RU"/>
              </w:rPr>
              <w:t>Sohta</w:t>
            </w:r>
            <w:proofErr w:type="spellEnd"/>
            <w:r w:rsidRPr="00E64C19">
              <w:rPr>
                <w:rFonts w:ascii="Book Antiqua" w:eastAsia="Times New Roman" w:hAnsi="Book Antiqua" w:cs="Times New Roman"/>
                <w:sz w:val="24"/>
                <w:szCs w:val="24"/>
                <w:lang w:val="en-US" w:eastAsia="ru-RU"/>
              </w:rPr>
              <w:t xml:space="preserve"> Uchiyama, M.D., Daisuke </w:t>
            </w:r>
            <w:proofErr w:type="spellStart"/>
            <w:r w:rsidRPr="00E64C19">
              <w:rPr>
                <w:rFonts w:ascii="Book Antiqua" w:eastAsia="Times New Roman" w:hAnsi="Book Antiqua" w:cs="Times New Roman"/>
                <w:sz w:val="24"/>
                <w:szCs w:val="24"/>
                <w:lang w:val="en-US" w:eastAsia="ru-RU"/>
              </w:rPr>
              <w:t>Niimi</w:t>
            </w:r>
            <w:proofErr w:type="spellEnd"/>
            <w:r w:rsidRPr="00E64C19">
              <w:rPr>
                <w:rFonts w:ascii="Book Antiqua" w:eastAsia="Times New Roman" w:hAnsi="Book Antiqua" w:cs="Times New Roman"/>
                <w:sz w:val="24"/>
                <w:szCs w:val="24"/>
                <w:lang w:val="en-US" w:eastAsia="ru-RU"/>
              </w:rPr>
              <w:t xml:space="preserve">, M.D., Chizuru Yamashita, M.D., </w:t>
            </w:r>
            <w:proofErr w:type="spellStart"/>
            <w:r w:rsidRPr="00E64C19">
              <w:rPr>
                <w:rFonts w:ascii="Book Antiqua" w:eastAsia="Times New Roman" w:hAnsi="Book Antiqua" w:cs="Times New Roman"/>
                <w:sz w:val="24"/>
                <w:szCs w:val="24"/>
                <w:lang w:val="en-US" w:eastAsia="ru-RU"/>
              </w:rPr>
              <w:t>Junpei</w:t>
            </w:r>
            <w:proofErr w:type="spellEnd"/>
            <w:r w:rsidRPr="00E64C19">
              <w:rPr>
                <w:rFonts w:ascii="Book Antiqua" w:eastAsia="Times New Roman" w:hAnsi="Book Antiqua" w:cs="Times New Roman"/>
                <w:sz w:val="24"/>
                <w:szCs w:val="24"/>
                <w:lang w:val="en-US" w:eastAsia="ru-RU"/>
              </w:rPr>
              <w:t xml:space="preserve"> Shibata, </w:t>
            </w:r>
            <w:proofErr w:type="spellStart"/>
            <w:r w:rsidRPr="00E64C19">
              <w:rPr>
                <w:rFonts w:ascii="Book Antiqua" w:eastAsia="Times New Roman" w:hAnsi="Book Antiqua" w:cs="Times New Roman"/>
                <w:sz w:val="24"/>
                <w:szCs w:val="24"/>
                <w:lang w:val="en-US" w:eastAsia="ru-RU"/>
              </w:rPr>
              <w:t>M.D.,Ph.D</w:t>
            </w:r>
            <w:proofErr w:type="spellEnd"/>
            <w:r w:rsidRPr="00E64C19">
              <w:rPr>
                <w:rFonts w:ascii="Book Antiqua" w:eastAsia="Times New Roman" w:hAnsi="Book Antiqua" w:cs="Times New Roman"/>
                <w:sz w:val="24"/>
                <w:szCs w:val="24"/>
                <w:lang w:val="en-US" w:eastAsia="ru-RU"/>
              </w:rPr>
              <w:t xml:space="preserve">., Osamu Nishida, </w:t>
            </w:r>
            <w:proofErr w:type="spellStart"/>
            <w:r w:rsidRPr="00E64C19">
              <w:rPr>
                <w:rFonts w:ascii="Book Antiqua" w:eastAsia="Times New Roman" w:hAnsi="Book Antiqua" w:cs="Times New Roman"/>
                <w:sz w:val="24"/>
                <w:szCs w:val="24"/>
                <w:lang w:val="en-US" w:eastAsia="ru-RU"/>
              </w:rPr>
              <w:t>M.D.,Ph.D</w:t>
            </w:r>
            <w:proofErr w:type="spellEnd"/>
            <w:r w:rsidRPr="00E64C19">
              <w:rPr>
                <w:rFonts w:ascii="Book Antiqua" w:eastAsia="Times New Roman" w:hAnsi="Book Antiqua" w:cs="Times New Roman"/>
                <w:sz w:val="24"/>
                <w:szCs w:val="24"/>
                <w:lang w:val="en-US" w:eastAsia="ru-RU"/>
              </w:rPr>
              <w:t>.</w:t>
            </w:r>
            <w:r w:rsidRPr="00E64C19">
              <w:rPr>
                <w:rFonts w:ascii="Book Antiqua" w:eastAsia="Times New Roman" w:hAnsi="Book Antiqua" w:cs="Times New Roman"/>
                <w:sz w:val="24"/>
                <w:szCs w:val="24"/>
                <w:lang w:val="en-US" w:eastAsia="ru-RU"/>
              </w:rPr>
              <w:br/>
              <w:t xml:space="preserve">Fujita Health University School of Medicine, </w:t>
            </w:r>
            <w:proofErr w:type="spellStart"/>
            <w:r w:rsidRPr="00E64C19">
              <w:rPr>
                <w:rFonts w:ascii="Book Antiqua" w:eastAsia="Times New Roman" w:hAnsi="Book Antiqua" w:cs="Times New Roman"/>
                <w:sz w:val="24"/>
                <w:szCs w:val="24"/>
                <w:lang w:val="en-US" w:eastAsia="ru-RU"/>
              </w:rPr>
              <w:t>Toyoake</w:t>
            </w:r>
            <w:proofErr w:type="spellEnd"/>
            <w:r w:rsidRPr="00E64C19">
              <w:rPr>
                <w:rFonts w:ascii="Book Antiqua" w:eastAsia="Times New Roman" w:hAnsi="Book Antiqua" w:cs="Times New Roman"/>
                <w:sz w:val="24"/>
                <w:szCs w:val="24"/>
                <w:lang w:val="en-US" w:eastAsia="ru-RU"/>
              </w:rPr>
              <w:t>, Japan</w:t>
            </w:r>
          </w:p>
        </w:tc>
      </w:tr>
      <w:tr w:rsidR="00E64C19" w:rsidRPr="00E64C19" w:rsidTr="00E64C19">
        <w:trPr>
          <w:tblCellSpacing w:w="0" w:type="dxa"/>
        </w:trPr>
        <w:tc>
          <w:tcPr>
            <w:tcW w:w="0" w:type="auto"/>
            <w:vAlign w:val="center"/>
            <w:hideMark/>
          </w:tcPr>
          <w:p w:rsidR="00E64C19" w:rsidRPr="00E64C19" w:rsidRDefault="00E64C19" w:rsidP="00E64C19">
            <w:pPr>
              <w:jc w:val="both"/>
              <w:rPr>
                <w:rFonts w:ascii="Book Antiqua" w:eastAsia="Times New Roman" w:hAnsi="Book Antiqua" w:cs="Times New Roman"/>
                <w:sz w:val="24"/>
                <w:szCs w:val="24"/>
                <w:lang w:val="en-US" w:eastAsia="ru-RU"/>
              </w:rPr>
            </w:pPr>
          </w:p>
        </w:tc>
      </w:tr>
      <w:tr w:rsidR="00E64C19" w:rsidRPr="00E64C19" w:rsidTr="00E64C19">
        <w:trPr>
          <w:tblCellSpacing w:w="0" w:type="dxa"/>
        </w:trPr>
        <w:tc>
          <w:tcPr>
            <w:tcW w:w="0" w:type="auto"/>
            <w:vAlign w:val="center"/>
            <w:hideMark/>
          </w:tcPr>
          <w:p w:rsidR="00E64C19" w:rsidRPr="00E64C19" w:rsidRDefault="00E64C19" w:rsidP="00E64C19">
            <w:pPr>
              <w:jc w:val="both"/>
              <w:rPr>
                <w:rFonts w:ascii="Book Antiqua" w:eastAsia="Times New Roman" w:hAnsi="Book Antiqua" w:cs="Times New Roman"/>
                <w:sz w:val="24"/>
                <w:szCs w:val="24"/>
                <w:lang w:val="en-US" w:eastAsia="ru-RU"/>
              </w:rPr>
            </w:pPr>
            <w:r w:rsidRPr="00E64C19">
              <w:rPr>
                <w:rFonts w:ascii="Book Antiqua" w:eastAsia="Times New Roman" w:hAnsi="Book Antiqua" w:cs="Times New Roman"/>
                <w:b/>
                <w:sz w:val="24"/>
                <w:szCs w:val="24"/>
                <w:lang w:val="en-US" w:eastAsia="ru-RU"/>
              </w:rPr>
              <w:t>Background</w:t>
            </w:r>
            <w:r w:rsidRPr="00E64C19">
              <w:rPr>
                <w:rFonts w:ascii="Book Antiqua" w:eastAsia="Times New Roman" w:hAnsi="Book Antiqua" w:cs="Times New Roman"/>
                <w:sz w:val="24"/>
                <w:szCs w:val="24"/>
                <w:lang w:val="en-US" w:eastAsia="ru-RU"/>
              </w:rPr>
              <w:br/>
            </w:r>
            <w:r w:rsidRPr="00E64C19">
              <w:rPr>
                <w:rFonts w:ascii="Book Antiqua" w:eastAsia="Times New Roman" w:hAnsi="Book Antiqua" w:cs="Times New Roman"/>
                <w:sz w:val="24"/>
                <w:szCs w:val="24"/>
                <w:lang w:val="en-US" w:eastAsia="ru-RU"/>
              </w:rPr>
              <w:br/>
              <w:t xml:space="preserve">The soluble CD14 subtype, </w:t>
            </w:r>
            <w:proofErr w:type="spellStart"/>
            <w:r w:rsidRPr="00E64C19">
              <w:rPr>
                <w:rFonts w:ascii="Book Antiqua" w:eastAsia="Times New Roman" w:hAnsi="Book Antiqua" w:cs="Times New Roman"/>
                <w:sz w:val="24"/>
                <w:szCs w:val="24"/>
                <w:lang w:val="en-US" w:eastAsia="ru-RU"/>
              </w:rPr>
              <w:t>presepsin</w:t>
            </w:r>
            <w:proofErr w:type="spellEnd"/>
            <w:r w:rsidRPr="00E64C19">
              <w:rPr>
                <w:rFonts w:ascii="Book Antiqua" w:eastAsia="Times New Roman" w:hAnsi="Book Antiqua" w:cs="Times New Roman"/>
                <w:sz w:val="24"/>
                <w:szCs w:val="24"/>
                <w:lang w:val="en-US" w:eastAsia="ru-RU"/>
              </w:rPr>
              <w:t xml:space="preserve"> (P-SEP), has been reported to be a novel diagnostic marker for sepsis. Clinicians must have knowledge about false positive biomarkers. There have been reports about elevation of the P-SEP level in patients with renal dysfunction, but reports about surgical insult have been few. In this study, we focused on surgical insult and evaluated the hypothesis that the false positive rate after surgical insult is lower for P-SEP than for </w:t>
            </w:r>
            <w:proofErr w:type="spellStart"/>
            <w:r w:rsidRPr="00E64C19">
              <w:rPr>
                <w:rFonts w:ascii="Book Antiqua" w:eastAsia="Times New Roman" w:hAnsi="Book Antiqua" w:cs="Times New Roman"/>
                <w:sz w:val="24"/>
                <w:szCs w:val="24"/>
                <w:lang w:val="en-US" w:eastAsia="ru-RU"/>
              </w:rPr>
              <w:t>procalcitonin</w:t>
            </w:r>
            <w:proofErr w:type="spellEnd"/>
            <w:r w:rsidRPr="00E64C19">
              <w:rPr>
                <w:rFonts w:ascii="Book Antiqua" w:eastAsia="Times New Roman" w:hAnsi="Book Antiqua" w:cs="Times New Roman"/>
                <w:sz w:val="24"/>
                <w:szCs w:val="24"/>
                <w:lang w:val="en-US" w:eastAsia="ru-RU"/>
              </w:rPr>
              <w:t xml:space="preserve"> (PCT).</w:t>
            </w:r>
          </w:p>
          <w:p w:rsidR="00E64C19" w:rsidRDefault="00E64C19" w:rsidP="00E64C19">
            <w:pPr>
              <w:jc w:val="both"/>
              <w:rPr>
                <w:rFonts w:ascii="Book Antiqua" w:eastAsia="Times New Roman" w:hAnsi="Book Antiqua" w:cs="Times New Roman"/>
                <w:sz w:val="24"/>
                <w:szCs w:val="24"/>
                <w:lang w:val="en-US" w:eastAsia="ru-RU"/>
              </w:rPr>
            </w:pPr>
            <w:r w:rsidRPr="00E64C19">
              <w:rPr>
                <w:rFonts w:ascii="Book Antiqua" w:eastAsia="Times New Roman" w:hAnsi="Book Antiqua" w:cs="Times New Roman"/>
                <w:sz w:val="24"/>
                <w:szCs w:val="24"/>
                <w:lang w:val="en-US" w:eastAsia="ru-RU"/>
              </w:rPr>
              <w:t>.</w:t>
            </w:r>
            <w:r w:rsidRPr="00E64C19">
              <w:rPr>
                <w:rFonts w:ascii="Book Antiqua" w:eastAsia="Times New Roman" w:hAnsi="Book Antiqua" w:cs="Times New Roman"/>
                <w:sz w:val="24"/>
                <w:szCs w:val="24"/>
                <w:lang w:val="en-US" w:eastAsia="ru-RU"/>
              </w:rPr>
              <w:br/>
            </w:r>
            <w:r w:rsidRPr="00E64C19">
              <w:rPr>
                <w:rFonts w:ascii="Book Antiqua" w:eastAsia="Times New Roman" w:hAnsi="Book Antiqua" w:cs="Times New Roman"/>
                <w:sz w:val="24"/>
                <w:szCs w:val="24"/>
                <w:lang w:val="en-US" w:eastAsia="ru-RU"/>
              </w:rPr>
              <w:br/>
              <w:t xml:space="preserve">This study was a single-facility prospective observational trial. The subjects were patients undergoing elective surgery, and expected to be admitted to the ICU between April and July 2014, excluding those with clear indications of preoperative infection. The cutoff values of P-SEP and PCT were </w:t>
            </w:r>
            <w:proofErr w:type="gramStart"/>
            <w:r w:rsidRPr="00E64C19">
              <w:rPr>
                <w:rFonts w:ascii="Book Antiqua" w:eastAsia="Times New Roman" w:hAnsi="Book Antiqua" w:cs="Times New Roman"/>
                <w:sz w:val="24"/>
                <w:szCs w:val="24"/>
                <w:lang w:val="en-US" w:eastAsia="ru-RU"/>
              </w:rPr>
              <w:t>500 pg/ml</w:t>
            </w:r>
            <w:proofErr w:type="gramEnd"/>
            <w:r w:rsidRPr="00E64C19">
              <w:rPr>
                <w:rFonts w:ascii="Book Antiqua" w:eastAsia="Times New Roman" w:hAnsi="Book Antiqua" w:cs="Times New Roman"/>
                <w:sz w:val="24"/>
                <w:szCs w:val="24"/>
                <w:lang w:val="en-US" w:eastAsia="ru-RU"/>
              </w:rPr>
              <w:t xml:space="preserve"> and 0.5 </w:t>
            </w:r>
            <w:proofErr w:type="spellStart"/>
            <w:r w:rsidRPr="00E64C19">
              <w:rPr>
                <w:rFonts w:ascii="Book Antiqua" w:eastAsia="Times New Roman" w:hAnsi="Book Antiqua" w:cs="Times New Roman"/>
                <w:sz w:val="24"/>
                <w:szCs w:val="24"/>
                <w:lang w:val="en-US" w:eastAsia="ru-RU"/>
              </w:rPr>
              <w:t>ng</w:t>
            </w:r>
            <w:proofErr w:type="spellEnd"/>
            <w:r w:rsidRPr="00E64C19">
              <w:rPr>
                <w:rFonts w:ascii="Book Antiqua" w:eastAsia="Times New Roman" w:hAnsi="Book Antiqua" w:cs="Times New Roman"/>
                <w:sz w:val="24"/>
                <w:szCs w:val="24"/>
                <w:lang w:val="en-US" w:eastAsia="ru-RU"/>
              </w:rPr>
              <w:t>/ml, respectively. The primary outcome was the false positive rate of the maximum value (P-</w:t>
            </w:r>
            <w:proofErr w:type="spellStart"/>
            <w:r w:rsidRPr="00E64C19">
              <w:rPr>
                <w:rFonts w:ascii="Book Antiqua" w:eastAsia="Times New Roman" w:hAnsi="Book Antiqua" w:cs="Times New Roman"/>
                <w:sz w:val="24"/>
                <w:szCs w:val="24"/>
                <w:lang w:val="en-US" w:eastAsia="ru-RU"/>
              </w:rPr>
              <w:t>SEPmax</w:t>
            </w:r>
            <w:proofErr w:type="spellEnd"/>
            <w:r w:rsidRPr="00E64C19">
              <w:rPr>
                <w:rFonts w:ascii="Book Antiqua" w:eastAsia="Times New Roman" w:hAnsi="Book Antiqua" w:cs="Times New Roman"/>
                <w:sz w:val="24"/>
                <w:szCs w:val="24"/>
                <w:lang w:val="en-US" w:eastAsia="ru-RU"/>
              </w:rPr>
              <w:t xml:space="preserve">, </w:t>
            </w:r>
            <w:proofErr w:type="spellStart"/>
            <w:r w:rsidRPr="00E64C19">
              <w:rPr>
                <w:rFonts w:ascii="Book Antiqua" w:eastAsia="Times New Roman" w:hAnsi="Book Antiqua" w:cs="Times New Roman"/>
                <w:sz w:val="24"/>
                <w:szCs w:val="24"/>
                <w:lang w:val="en-US" w:eastAsia="ru-RU"/>
              </w:rPr>
              <w:t>PCTmax</w:t>
            </w:r>
            <w:proofErr w:type="spellEnd"/>
            <w:r w:rsidRPr="00E64C19">
              <w:rPr>
                <w:rFonts w:ascii="Book Antiqua" w:eastAsia="Times New Roman" w:hAnsi="Book Antiqua" w:cs="Times New Roman"/>
                <w:sz w:val="24"/>
                <w:szCs w:val="24"/>
                <w:lang w:val="en-US" w:eastAsia="ru-RU"/>
              </w:rPr>
              <w:t>) during 3 days after admission to the ICU. The secondary outcome was factors related to P-</w:t>
            </w:r>
            <w:proofErr w:type="spellStart"/>
            <w:r w:rsidRPr="00E64C19">
              <w:rPr>
                <w:rFonts w:ascii="Book Antiqua" w:eastAsia="Times New Roman" w:hAnsi="Book Antiqua" w:cs="Times New Roman"/>
                <w:sz w:val="24"/>
                <w:szCs w:val="24"/>
                <w:lang w:val="en-US" w:eastAsia="ru-RU"/>
              </w:rPr>
              <w:t>SEPmax</w:t>
            </w:r>
            <w:proofErr w:type="spellEnd"/>
            <w:r w:rsidRPr="00E64C19">
              <w:rPr>
                <w:rFonts w:ascii="Book Antiqua" w:eastAsia="Times New Roman" w:hAnsi="Book Antiqua" w:cs="Times New Roman"/>
                <w:sz w:val="24"/>
                <w:szCs w:val="24"/>
                <w:lang w:val="en-US" w:eastAsia="ru-RU"/>
              </w:rPr>
              <w:t xml:space="preserve"> and </w:t>
            </w:r>
            <w:proofErr w:type="spellStart"/>
            <w:r w:rsidRPr="00E64C19">
              <w:rPr>
                <w:rFonts w:ascii="Book Antiqua" w:eastAsia="Times New Roman" w:hAnsi="Book Antiqua" w:cs="Times New Roman"/>
                <w:sz w:val="24"/>
                <w:szCs w:val="24"/>
                <w:lang w:val="en-US" w:eastAsia="ru-RU"/>
              </w:rPr>
              <w:t>PCTmax</w:t>
            </w:r>
            <w:proofErr w:type="spellEnd"/>
            <w:r w:rsidRPr="00E64C19">
              <w:rPr>
                <w:rFonts w:ascii="Book Antiqua" w:eastAsia="Times New Roman" w:hAnsi="Book Antiqua" w:cs="Times New Roman"/>
                <w:sz w:val="24"/>
                <w:szCs w:val="24"/>
                <w:lang w:val="en-US" w:eastAsia="ru-RU"/>
              </w:rPr>
              <w:t xml:space="preserve">. As explanatory variables were: the age, preoperative </w:t>
            </w:r>
            <w:proofErr w:type="spellStart"/>
            <w:r w:rsidRPr="00E64C19">
              <w:rPr>
                <w:rFonts w:ascii="Book Antiqua" w:eastAsia="Times New Roman" w:hAnsi="Book Antiqua" w:cs="Times New Roman"/>
                <w:sz w:val="24"/>
                <w:szCs w:val="24"/>
                <w:lang w:val="en-US" w:eastAsia="ru-RU"/>
              </w:rPr>
              <w:t>eGFR</w:t>
            </w:r>
            <w:proofErr w:type="spellEnd"/>
            <w:r w:rsidRPr="00E64C19">
              <w:rPr>
                <w:rFonts w:ascii="Book Antiqua" w:eastAsia="Times New Roman" w:hAnsi="Book Antiqua" w:cs="Times New Roman"/>
                <w:sz w:val="24"/>
                <w:szCs w:val="24"/>
                <w:lang w:val="en-US" w:eastAsia="ru-RU"/>
              </w:rPr>
              <w:t>, implementation of cardiopulmonary bypass (CPB), APACHE II, and operation time. This study was carried out with approval by the institutional review board.</w:t>
            </w:r>
            <w:r w:rsidRPr="00E64C19">
              <w:rPr>
                <w:rFonts w:ascii="Book Antiqua" w:eastAsia="Times New Roman" w:hAnsi="Book Antiqua" w:cs="Times New Roman"/>
                <w:sz w:val="24"/>
                <w:szCs w:val="24"/>
                <w:lang w:val="en-US" w:eastAsia="ru-RU"/>
              </w:rPr>
              <w:br/>
            </w:r>
            <w:r w:rsidRPr="00E64C19">
              <w:rPr>
                <w:rFonts w:ascii="Book Antiqua" w:eastAsia="Times New Roman" w:hAnsi="Book Antiqua" w:cs="Times New Roman"/>
                <w:sz w:val="24"/>
                <w:szCs w:val="24"/>
                <w:lang w:val="en-US" w:eastAsia="ru-RU"/>
              </w:rPr>
              <w:br/>
            </w:r>
            <w:r w:rsidRPr="00E64C19">
              <w:rPr>
                <w:rFonts w:ascii="Book Antiqua" w:eastAsia="Times New Roman" w:hAnsi="Book Antiqua" w:cs="Times New Roman"/>
                <w:b/>
                <w:sz w:val="24"/>
                <w:szCs w:val="24"/>
                <w:lang w:val="en-US" w:eastAsia="ru-RU"/>
              </w:rPr>
              <w:t>Results</w:t>
            </w:r>
            <w:r w:rsidRPr="00E64C19">
              <w:rPr>
                <w:rFonts w:ascii="Book Antiqua" w:eastAsia="Times New Roman" w:hAnsi="Book Antiqua" w:cs="Times New Roman"/>
                <w:b/>
                <w:sz w:val="24"/>
                <w:szCs w:val="24"/>
                <w:lang w:val="en-US" w:eastAsia="ru-RU"/>
              </w:rPr>
              <w:br/>
            </w:r>
            <w:r w:rsidRPr="00E64C19">
              <w:rPr>
                <w:rFonts w:ascii="Book Antiqua" w:eastAsia="Times New Roman" w:hAnsi="Book Antiqua" w:cs="Times New Roman"/>
                <w:sz w:val="24"/>
                <w:szCs w:val="24"/>
                <w:lang w:val="en-US" w:eastAsia="ru-RU"/>
              </w:rPr>
              <w:br/>
              <w:t>The subjects were 55 patients (35 males and 20 females; 44 treated at the Department of Cardiovascular Surgery, 11 treated at other departments). The operation time (median (</w:t>
            </w:r>
            <w:proofErr w:type="spellStart"/>
            <w:r w:rsidRPr="00E64C19">
              <w:rPr>
                <w:rFonts w:ascii="Book Antiqua" w:eastAsia="Times New Roman" w:hAnsi="Book Antiqua" w:cs="Times New Roman"/>
                <w:sz w:val="24"/>
                <w:szCs w:val="24"/>
                <w:lang w:val="en-US" w:eastAsia="ru-RU"/>
              </w:rPr>
              <w:t>interquartile</w:t>
            </w:r>
            <w:proofErr w:type="spellEnd"/>
            <w:r w:rsidRPr="00E64C19">
              <w:rPr>
                <w:rFonts w:ascii="Book Antiqua" w:eastAsia="Times New Roman" w:hAnsi="Book Antiqua" w:cs="Times New Roman"/>
                <w:sz w:val="24"/>
                <w:szCs w:val="24"/>
                <w:lang w:val="en-US" w:eastAsia="ru-RU"/>
              </w:rPr>
              <w:t>)) was 313 (241-431) min. The P-</w:t>
            </w:r>
            <w:proofErr w:type="spellStart"/>
            <w:r w:rsidRPr="00E64C19">
              <w:rPr>
                <w:rFonts w:ascii="Book Antiqua" w:eastAsia="Times New Roman" w:hAnsi="Book Antiqua" w:cs="Times New Roman"/>
                <w:sz w:val="24"/>
                <w:szCs w:val="24"/>
                <w:lang w:val="en-US" w:eastAsia="ru-RU"/>
              </w:rPr>
              <w:t>SEPmax</w:t>
            </w:r>
            <w:proofErr w:type="spellEnd"/>
            <w:r w:rsidRPr="00E64C19">
              <w:rPr>
                <w:rFonts w:ascii="Book Antiqua" w:eastAsia="Times New Roman" w:hAnsi="Book Antiqua" w:cs="Times New Roman"/>
                <w:sz w:val="24"/>
                <w:szCs w:val="24"/>
                <w:lang w:val="en-US" w:eastAsia="ru-RU"/>
              </w:rPr>
              <w:t xml:space="preserve"> and </w:t>
            </w:r>
            <w:proofErr w:type="spellStart"/>
            <w:r w:rsidRPr="00E64C19">
              <w:rPr>
                <w:rFonts w:ascii="Book Antiqua" w:eastAsia="Times New Roman" w:hAnsi="Book Antiqua" w:cs="Times New Roman"/>
                <w:sz w:val="24"/>
                <w:szCs w:val="24"/>
                <w:lang w:val="en-US" w:eastAsia="ru-RU"/>
              </w:rPr>
              <w:t>PCTmax</w:t>
            </w:r>
            <w:proofErr w:type="spellEnd"/>
            <w:r w:rsidRPr="00E64C19">
              <w:rPr>
                <w:rFonts w:ascii="Book Antiqua" w:eastAsia="Times New Roman" w:hAnsi="Book Antiqua" w:cs="Times New Roman"/>
                <w:sz w:val="24"/>
                <w:szCs w:val="24"/>
                <w:lang w:val="en-US" w:eastAsia="ru-RU"/>
              </w:rPr>
              <w:t xml:space="preserve"> were 416 (272-771) pg/ml and 0.93 (0.45-2.52) </w:t>
            </w:r>
            <w:proofErr w:type="spellStart"/>
            <w:r w:rsidRPr="00E64C19">
              <w:rPr>
                <w:rFonts w:ascii="Book Antiqua" w:eastAsia="Times New Roman" w:hAnsi="Book Antiqua" w:cs="Times New Roman"/>
                <w:sz w:val="24"/>
                <w:szCs w:val="24"/>
                <w:lang w:val="en-US" w:eastAsia="ru-RU"/>
              </w:rPr>
              <w:t>ng</w:t>
            </w:r>
            <w:proofErr w:type="spellEnd"/>
            <w:r w:rsidRPr="00E64C19">
              <w:rPr>
                <w:rFonts w:ascii="Book Antiqua" w:eastAsia="Times New Roman" w:hAnsi="Book Antiqua" w:cs="Times New Roman"/>
                <w:sz w:val="24"/>
                <w:szCs w:val="24"/>
                <w:lang w:val="en-US" w:eastAsia="ru-RU"/>
              </w:rPr>
              <w:t>/ml, respectively. The false positive rate of P-</w:t>
            </w:r>
            <w:proofErr w:type="spellStart"/>
            <w:r w:rsidRPr="00E64C19">
              <w:rPr>
                <w:rFonts w:ascii="Book Antiqua" w:eastAsia="Times New Roman" w:hAnsi="Book Antiqua" w:cs="Times New Roman"/>
                <w:sz w:val="24"/>
                <w:szCs w:val="24"/>
                <w:lang w:val="en-US" w:eastAsia="ru-RU"/>
              </w:rPr>
              <w:t>SEPmax</w:t>
            </w:r>
            <w:proofErr w:type="spellEnd"/>
            <w:r w:rsidRPr="00E64C19">
              <w:rPr>
                <w:rFonts w:ascii="Book Antiqua" w:eastAsia="Times New Roman" w:hAnsi="Book Antiqua" w:cs="Times New Roman"/>
                <w:sz w:val="24"/>
                <w:szCs w:val="24"/>
                <w:lang w:val="en-US" w:eastAsia="ru-RU"/>
              </w:rPr>
              <w:t xml:space="preserve"> was significantly lower than that of </w:t>
            </w:r>
            <w:proofErr w:type="spellStart"/>
            <w:r w:rsidRPr="00E64C19">
              <w:rPr>
                <w:rFonts w:ascii="Book Antiqua" w:eastAsia="Times New Roman" w:hAnsi="Book Antiqua" w:cs="Times New Roman"/>
                <w:sz w:val="24"/>
                <w:szCs w:val="24"/>
                <w:lang w:val="en-US" w:eastAsia="ru-RU"/>
              </w:rPr>
              <w:t>PCTmax</w:t>
            </w:r>
            <w:proofErr w:type="spellEnd"/>
            <w:r w:rsidRPr="00E64C19">
              <w:rPr>
                <w:rFonts w:ascii="Book Antiqua" w:eastAsia="Times New Roman" w:hAnsi="Book Antiqua" w:cs="Times New Roman"/>
                <w:sz w:val="24"/>
                <w:szCs w:val="24"/>
                <w:lang w:val="en-US" w:eastAsia="ru-RU"/>
              </w:rPr>
              <w:t xml:space="preserve"> (43% for P-</w:t>
            </w:r>
            <w:proofErr w:type="spellStart"/>
            <w:r w:rsidRPr="00E64C19">
              <w:rPr>
                <w:rFonts w:ascii="Book Antiqua" w:eastAsia="Times New Roman" w:hAnsi="Book Antiqua" w:cs="Times New Roman"/>
                <w:sz w:val="24"/>
                <w:szCs w:val="24"/>
                <w:lang w:val="en-US" w:eastAsia="ru-RU"/>
              </w:rPr>
              <w:t>SEPmax</w:t>
            </w:r>
            <w:proofErr w:type="spellEnd"/>
            <w:r w:rsidRPr="00E64C19">
              <w:rPr>
                <w:rFonts w:ascii="Book Antiqua" w:eastAsia="Times New Roman" w:hAnsi="Book Antiqua" w:cs="Times New Roman"/>
                <w:sz w:val="24"/>
                <w:szCs w:val="24"/>
                <w:lang w:val="en-US" w:eastAsia="ru-RU"/>
              </w:rPr>
              <w:t xml:space="preserve">, 69% for </w:t>
            </w:r>
            <w:proofErr w:type="spellStart"/>
            <w:r w:rsidRPr="00E64C19">
              <w:rPr>
                <w:rFonts w:ascii="Book Antiqua" w:eastAsia="Times New Roman" w:hAnsi="Book Antiqua" w:cs="Times New Roman"/>
                <w:sz w:val="24"/>
                <w:szCs w:val="24"/>
                <w:lang w:val="en-US" w:eastAsia="ru-RU"/>
              </w:rPr>
              <w:t>PCTmax</w:t>
            </w:r>
            <w:proofErr w:type="spellEnd"/>
            <w:r w:rsidRPr="00E64C19">
              <w:rPr>
                <w:rFonts w:ascii="Book Antiqua" w:eastAsia="Times New Roman" w:hAnsi="Book Antiqua" w:cs="Times New Roman"/>
                <w:sz w:val="24"/>
                <w:szCs w:val="24"/>
                <w:lang w:val="en-US" w:eastAsia="ru-RU"/>
              </w:rPr>
              <w:t xml:space="preserve">, p&lt;0.001). CPB was significantly related to </w:t>
            </w:r>
            <w:proofErr w:type="spellStart"/>
            <w:r w:rsidRPr="00E64C19">
              <w:rPr>
                <w:rFonts w:ascii="Book Antiqua" w:eastAsia="Times New Roman" w:hAnsi="Book Antiqua" w:cs="Times New Roman"/>
                <w:sz w:val="24"/>
                <w:szCs w:val="24"/>
                <w:lang w:val="en-US" w:eastAsia="ru-RU"/>
              </w:rPr>
              <w:t>PCTmax</w:t>
            </w:r>
            <w:proofErr w:type="spellEnd"/>
            <w:r w:rsidRPr="00E64C19">
              <w:rPr>
                <w:rFonts w:ascii="Book Antiqua" w:eastAsia="Times New Roman" w:hAnsi="Book Antiqua" w:cs="Times New Roman"/>
                <w:sz w:val="24"/>
                <w:szCs w:val="24"/>
                <w:lang w:val="en-US" w:eastAsia="ru-RU"/>
              </w:rPr>
              <w:t xml:space="preserve"> but not to P-</w:t>
            </w:r>
            <w:proofErr w:type="spellStart"/>
            <w:r w:rsidRPr="00E64C19">
              <w:rPr>
                <w:rFonts w:ascii="Book Antiqua" w:eastAsia="Times New Roman" w:hAnsi="Book Antiqua" w:cs="Times New Roman"/>
                <w:sz w:val="24"/>
                <w:szCs w:val="24"/>
                <w:lang w:val="en-US" w:eastAsia="ru-RU"/>
              </w:rPr>
              <w:t>SEPmax</w:t>
            </w:r>
            <w:proofErr w:type="spellEnd"/>
            <w:r w:rsidRPr="00E64C19">
              <w:rPr>
                <w:rFonts w:ascii="Book Antiqua" w:eastAsia="Times New Roman" w:hAnsi="Book Antiqua" w:cs="Times New Roman"/>
                <w:sz w:val="24"/>
                <w:szCs w:val="24"/>
                <w:lang w:val="en-US" w:eastAsia="ru-RU"/>
              </w:rPr>
              <w:t xml:space="preserve">. The preoperative </w:t>
            </w:r>
            <w:proofErr w:type="spellStart"/>
            <w:r w:rsidRPr="00E64C19">
              <w:rPr>
                <w:rFonts w:ascii="Book Antiqua" w:eastAsia="Times New Roman" w:hAnsi="Book Antiqua" w:cs="Times New Roman"/>
                <w:sz w:val="24"/>
                <w:szCs w:val="24"/>
                <w:lang w:val="en-US" w:eastAsia="ru-RU"/>
              </w:rPr>
              <w:t>eGFR</w:t>
            </w:r>
            <w:proofErr w:type="spellEnd"/>
            <w:r w:rsidRPr="00E64C19">
              <w:rPr>
                <w:rFonts w:ascii="Book Antiqua" w:eastAsia="Times New Roman" w:hAnsi="Book Antiqua" w:cs="Times New Roman"/>
                <w:sz w:val="24"/>
                <w:szCs w:val="24"/>
                <w:lang w:val="en-US" w:eastAsia="ru-RU"/>
              </w:rPr>
              <w:t xml:space="preserve"> showed no significant correlation with P-</w:t>
            </w:r>
            <w:proofErr w:type="spellStart"/>
            <w:r w:rsidRPr="00E64C19">
              <w:rPr>
                <w:rFonts w:ascii="Book Antiqua" w:eastAsia="Times New Roman" w:hAnsi="Book Antiqua" w:cs="Times New Roman"/>
                <w:sz w:val="24"/>
                <w:szCs w:val="24"/>
                <w:lang w:val="en-US" w:eastAsia="ru-RU"/>
              </w:rPr>
              <w:t>SEPmax</w:t>
            </w:r>
            <w:proofErr w:type="spellEnd"/>
            <w:r w:rsidRPr="00E64C19">
              <w:rPr>
                <w:rFonts w:ascii="Book Antiqua" w:eastAsia="Times New Roman" w:hAnsi="Book Antiqua" w:cs="Times New Roman"/>
                <w:sz w:val="24"/>
                <w:szCs w:val="24"/>
                <w:lang w:val="en-US" w:eastAsia="ru-RU"/>
              </w:rPr>
              <w:t xml:space="preserve"> or </w:t>
            </w:r>
            <w:proofErr w:type="spellStart"/>
            <w:r w:rsidRPr="00E64C19">
              <w:rPr>
                <w:rFonts w:ascii="Book Antiqua" w:eastAsia="Times New Roman" w:hAnsi="Book Antiqua" w:cs="Times New Roman"/>
                <w:sz w:val="24"/>
                <w:szCs w:val="24"/>
                <w:lang w:val="en-US" w:eastAsia="ru-RU"/>
              </w:rPr>
              <w:t>PCTmax</w:t>
            </w:r>
            <w:proofErr w:type="spellEnd"/>
            <w:r>
              <w:rPr>
                <w:rFonts w:ascii="Book Antiqua" w:eastAsia="Times New Roman" w:hAnsi="Book Antiqua" w:cs="Times New Roman"/>
                <w:sz w:val="24"/>
                <w:szCs w:val="24"/>
                <w:lang w:val="en-US" w:eastAsia="ru-RU"/>
              </w:rPr>
              <w:t>.</w:t>
            </w:r>
          </w:p>
          <w:p w:rsidR="00E64C19" w:rsidRPr="00E64C19" w:rsidRDefault="00E64C19" w:rsidP="00E64C19">
            <w:pPr>
              <w:jc w:val="both"/>
              <w:rPr>
                <w:rFonts w:ascii="Book Antiqua" w:eastAsia="Times New Roman" w:hAnsi="Book Antiqua" w:cs="Times New Roman"/>
                <w:sz w:val="24"/>
                <w:szCs w:val="24"/>
                <w:lang w:val="en-US" w:eastAsia="ru-RU"/>
              </w:rPr>
            </w:pPr>
            <w:r w:rsidRPr="00E64C19">
              <w:rPr>
                <w:rFonts w:ascii="Book Antiqua" w:eastAsia="Times New Roman" w:hAnsi="Book Antiqua" w:cs="Times New Roman"/>
                <w:sz w:val="24"/>
                <w:szCs w:val="24"/>
                <w:lang w:val="en-US" w:eastAsia="ru-RU"/>
              </w:rPr>
              <w:t>.</w:t>
            </w:r>
            <w:r w:rsidRPr="00E64C19">
              <w:rPr>
                <w:rFonts w:ascii="Book Antiqua" w:eastAsia="Times New Roman" w:hAnsi="Book Antiqua" w:cs="Times New Roman"/>
                <w:sz w:val="24"/>
                <w:szCs w:val="24"/>
                <w:lang w:val="en-US" w:eastAsia="ru-RU"/>
              </w:rPr>
              <w:br/>
            </w:r>
            <w:r w:rsidRPr="00E64C19">
              <w:rPr>
                <w:rFonts w:ascii="Book Antiqua" w:eastAsia="Times New Roman" w:hAnsi="Book Antiqua" w:cs="Times New Roman"/>
                <w:b/>
                <w:sz w:val="24"/>
                <w:szCs w:val="24"/>
                <w:lang w:val="en-US" w:eastAsia="ru-RU"/>
              </w:rPr>
              <w:t>Conclusions</w:t>
            </w:r>
            <w:r w:rsidRPr="00E64C19">
              <w:rPr>
                <w:rFonts w:ascii="Book Antiqua" w:eastAsia="Times New Roman" w:hAnsi="Book Antiqua" w:cs="Times New Roman"/>
                <w:b/>
                <w:sz w:val="24"/>
                <w:szCs w:val="24"/>
                <w:lang w:val="en-US" w:eastAsia="ru-RU"/>
              </w:rPr>
              <w:br/>
            </w:r>
            <w:r w:rsidRPr="00E64C19">
              <w:rPr>
                <w:rFonts w:ascii="Book Antiqua" w:eastAsia="Times New Roman" w:hAnsi="Book Antiqua" w:cs="Times New Roman"/>
                <w:sz w:val="24"/>
                <w:szCs w:val="24"/>
                <w:lang w:val="en-US" w:eastAsia="ru-RU"/>
              </w:rPr>
              <w:br/>
              <w:t>In patients who underwent elective surgery and were expected to be admitted to the ICU, the false positive rate of P-</w:t>
            </w:r>
            <w:proofErr w:type="spellStart"/>
            <w:r w:rsidRPr="00E64C19">
              <w:rPr>
                <w:rFonts w:ascii="Book Antiqua" w:eastAsia="Times New Roman" w:hAnsi="Book Antiqua" w:cs="Times New Roman"/>
                <w:sz w:val="24"/>
                <w:szCs w:val="24"/>
                <w:lang w:val="en-US" w:eastAsia="ru-RU"/>
              </w:rPr>
              <w:t>SEPmax</w:t>
            </w:r>
            <w:proofErr w:type="spellEnd"/>
            <w:r w:rsidRPr="00E64C19">
              <w:rPr>
                <w:rFonts w:ascii="Book Antiqua" w:eastAsia="Times New Roman" w:hAnsi="Book Antiqua" w:cs="Times New Roman"/>
                <w:sz w:val="24"/>
                <w:szCs w:val="24"/>
                <w:lang w:val="en-US" w:eastAsia="ru-RU"/>
              </w:rPr>
              <w:t xml:space="preserve"> was lower than that of </w:t>
            </w:r>
            <w:proofErr w:type="spellStart"/>
            <w:r w:rsidRPr="00E64C19">
              <w:rPr>
                <w:rFonts w:ascii="Book Antiqua" w:eastAsia="Times New Roman" w:hAnsi="Book Antiqua" w:cs="Times New Roman"/>
                <w:sz w:val="24"/>
                <w:szCs w:val="24"/>
                <w:lang w:val="en-US" w:eastAsia="ru-RU"/>
              </w:rPr>
              <w:t>PCTmax</w:t>
            </w:r>
            <w:proofErr w:type="spellEnd"/>
            <w:r w:rsidRPr="00E64C19">
              <w:rPr>
                <w:rFonts w:ascii="Book Antiqua" w:eastAsia="Times New Roman" w:hAnsi="Book Antiqua" w:cs="Times New Roman"/>
                <w:sz w:val="24"/>
                <w:szCs w:val="24"/>
                <w:lang w:val="en-US" w:eastAsia="ru-RU"/>
              </w:rPr>
              <w:t xml:space="preserve">. The CPB was related to </w:t>
            </w:r>
            <w:proofErr w:type="spellStart"/>
            <w:r w:rsidRPr="00E64C19">
              <w:rPr>
                <w:rFonts w:ascii="Book Antiqua" w:eastAsia="Times New Roman" w:hAnsi="Book Antiqua" w:cs="Times New Roman"/>
                <w:sz w:val="24"/>
                <w:szCs w:val="24"/>
                <w:lang w:val="en-US" w:eastAsia="ru-RU"/>
              </w:rPr>
              <w:t>PCTmax</w:t>
            </w:r>
            <w:proofErr w:type="spellEnd"/>
            <w:r w:rsidRPr="00E64C19">
              <w:rPr>
                <w:rFonts w:ascii="Book Antiqua" w:eastAsia="Times New Roman" w:hAnsi="Book Antiqua" w:cs="Times New Roman"/>
                <w:sz w:val="24"/>
                <w:szCs w:val="24"/>
                <w:lang w:val="en-US" w:eastAsia="ru-RU"/>
              </w:rPr>
              <w:t xml:space="preserve"> but not to P-</w:t>
            </w:r>
            <w:proofErr w:type="spellStart"/>
            <w:r w:rsidRPr="00E64C19">
              <w:rPr>
                <w:rFonts w:ascii="Book Antiqua" w:eastAsia="Times New Roman" w:hAnsi="Book Antiqua" w:cs="Times New Roman"/>
                <w:sz w:val="24"/>
                <w:szCs w:val="24"/>
                <w:lang w:val="en-US" w:eastAsia="ru-RU"/>
              </w:rPr>
              <w:t>SEPmax</w:t>
            </w:r>
            <w:proofErr w:type="spellEnd"/>
            <w:r w:rsidRPr="00E64C19">
              <w:rPr>
                <w:rFonts w:ascii="Book Antiqua" w:eastAsia="Times New Roman" w:hAnsi="Book Antiqua" w:cs="Times New Roman"/>
                <w:sz w:val="24"/>
                <w:szCs w:val="24"/>
                <w:lang w:val="en-US" w:eastAsia="ru-RU"/>
              </w:rPr>
              <w:t>.</w:t>
            </w:r>
          </w:p>
        </w:tc>
      </w:tr>
    </w:tbl>
    <w:p w:rsidR="0067247F" w:rsidRPr="00E64C19" w:rsidRDefault="0067247F" w:rsidP="00E64C19">
      <w:pPr>
        <w:jc w:val="both"/>
        <w:rPr>
          <w:rFonts w:ascii="Book Antiqua" w:hAnsi="Book Antiqua"/>
          <w:lang w:val="en-US"/>
        </w:rPr>
      </w:pPr>
    </w:p>
    <w:sectPr w:rsidR="0067247F" w:rsidRPr="00E64C19" w:rsidSect="006724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E64C19"/>
    <w:rsid w:val="0067247F"/>
    <w:rsid w:val="007B4FDE"/>
    <w:rsid w:val="00AB5D11"/>
    <w:rsid w:val="00E64C19"/>
    <w:rsid w:val="00E94C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4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64C19"/>
    <w:rPr>
      <w:b/>
      <w:bCs/>
    </w:rPr>
  </w:style>
</w:styles>
</file>

<file path=word/webSettings.xml><?xml version="1.0" encoding="utf-8"?>
<w:webSettings xmlns:r="http://schemas.openxmlformats.org/officeDocument/2006/relationships" xmlns:w="http://schemas.openxmlformats.org/wordprocessingml/2006/main">
  <w:divs>
    <w:div w:id="75852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392</Words>
  <Characters>2238</Characters>
  <Application>Microsoft Office Word</Application>
  <DocSecurity>0</DocSecurity>
  <Lines>18</Lines>
  <Paragraphs>5</Paragraphs>
  <ScaleCrop>false</ScaleCrop>
  <Company>DIAKON</Company>
  <LinksUpToDate>false</LinksUpToDate>
  <CharactersWithSpaces>2625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Vasily Velkov</dc:creator>
  <cp:keywords/>
  <dc:description/>
  <cp:lastModifiedBy>Vasily Velkov</cp:lastModifiedBy>
  <cp:revision>1</cp:revision>
  <dcterms:created xsi:type="dcterms:W3CDTF">2015-09-17T10:16:00Z</dcterms:created>
  <dcterms:modified xsi:type="dcterms:W3CDTF">2015-09-17T10:21:00Z</dcterms:modified>
</cp:coreProperties>
</file>